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elraster"/>
        <w:tblW w:w="0" w:type="auto"/>
        <w:tblInd w:w="108" w:type="dxa"/>
        <w:tblBorders>
          <w:insideH w:val="none" w:sz="0" w:space="0" w:color="auto"/>
        </w:tblBorders>
        <w:tblLook w:val="04A0" w:firstRow="1" w:lastRow="0" w:firstColumn="1" w:lastColumn="0" w:noHBand="0" w:noVBand="1"/>
      </w:tblPr>
      <w:tblGrid>
        <w:gridCol w:w="8954"/>
      </w:tblGrid>
      <w:tr w:rsidR="001167B2" w:rsidRPr="00E062FE" w14:paraId="0C30FD77" w14:textId="77777777" w:rsidTr="00D54B1A">
        <w:tc>
          <w:tcPr>
            <w:tcW w:w="8954" w:type="dxa"/>
            <w:tcBorders>
              <w:top w:val="nil"/>
              <w:left w:val="nil"/>
              <w:bottom w:val="nil"/>
              <w:right w:val="nil"/>
            </w:tcBorders>
            <w:shd w:val="clear" w:color="auto" w:fill="D9E2F3" w:themeFill="accent1" w:themeFillTint="33"/>
          </w:tcPr>
          <w:p w14:paraId="6DFF581D" w14:textId="77777777" w:rsidR="001167B2" w:rsidRPr="00E062FE" w:rsidRDefault="001167B2" w:rsidP="00D54B1A">
            <w:pPr>
              <w:rPr>
                <w:rFonts w:ascii="Calibri" w:hAnsi="Calibri" w:cs="Calibri"/>
                <w:sz w:val="16"/>
                <w:szCs w:val="16"/>
              </w:rPr>
            </w:pPr>
          </w:p>
          <w:p w14:paraId="77E44B7D" w14:textId="77777777" w:rsidR="001167B2" w:rsidRPr="00E062FE" w:rsidRDefault="001167B2" w:rsidP="00D54B1A">
            <w:pPr>
              <w:rPr>
                <w:rFonts w:ascii="Calibri" w:hAnsi="Calibri" w:cs="Calibri"/>
                <w:b/>
                <w:bCs/>
                <w:sz w:val="16"/>
                <w:szCs w:val="16"/>
              </w:rPr>
            </w:pPr>
            <w:r w:rsidRPr="007461BC">
              <w:rPr>
                <w:rFonts w:ascii="Calibri" w:hAnsi="Calibri" w:cs="Calibri"/>
                <w:b/>
                <w:bCs/>
                <w:sz w:val="16"/>
                <w:szCs w:val="16"/>
              </w:rPr>
              <w:t>TOOL 3: REMUNERATIEBELEID</w:t>
            </w:r>
          </w:p>
        </w:tc>
      </w:tr>
      <w:tr w:rsidR="001167B2" w:rsidRPr="00E062FE" w14:paraId="2DEE1A44" w14:textId="77777777" w:rsidTr="00D54B1A">
        <w:tc>
          <w:tcPr>
            <w:tcW w:w="8954" w:type="dxa"/>
            <w:tcBorders>
              <w:top w:val="nil"/>
              <w:left w:val="nil"/>
              <w:bottom w:val="nil"/>
              <w:right w:val="nil"/>
            </w:tcBorders>
            <w:shd w:val="clear" w:color="auto" w:fill="D9E2F3" w:themeFill="accent1" w:themeFillTint="33"/>
          </w:tcPr>
          <w:p w14:paraId="5E2624D2" w14:textId="77777777" w:rsidR="001167B2" w:rsidRDefault="001167B2" w:rsidP="00D54B1A">
            <w:pPr>
              <w:jc w:val="both"/>
              <w:rPr>
                <w:rFonts w:ascii="Calibri" w:hAnsi="Calibri" w:cs="Calibri"/>
                <w:sz w:val="16"/>
                <w:szCs w:val="16"/>
              </w:rPr>
            </w:pPr>
            <w:r w:rsidRPr="007461BC">
              <w:rPr>
                <w:rFonts w:ascii="Calibri" w:hAnsi="Calibri" w:cs="Calibri"/>
                <w:sz w:val="16"/>
                <w:szCs w:val="16"/>
              </w:rPr>
              <w:t>Het document geniet auteursrechtelijke bescherming en het gebruik ervan is exclusief voorbehouden voor FVF-leden. Hoewel het document door FVF werd opgemaakt met de grootste zorg, kan FVF geen enkele aansprakelijkheid aanvaarden. Het is mogelijk dat het document nog wijzigt in functie van nieuwe wetgeving en/of rechtspraak. FVF biedt geen enkele garantie dat de rechtbanken, overheden en/of administraties het eens zullen zijn met de visie van FVF. U dient het gebruik van het document af te toetsen aan de eigen concrete omstandigheden.</w:t>
            </w:r>
          </w:p>
          <w:p w14:paraId="7BE8D2DB" w14:textId="78C9509A" w:rsidR="0096441D" w:rsidRPr="00E062FE" w:rsidRDefault="0096441D" w:rsidP="00D54B1A">
            <w:pPr>
              <w:jc w:val="both"/>
              <w:rPr>
                <w:rFonts w:ascii="Calibri" w:hAnsi="Calibri" w:cs="Calibri"/>
                <w:sz w:val="16"/>
                <w:szCs w:val="16"/>
              </w:rPr>
            </w:pPr>
          </w:p>
        </w:tc>
      </w:tr>
    </w:tbl>
    <w:p w14:paraId="22725C2D" w14:textId="77777777" w:rsidR="001167B2" w:rsidRDefault="001167B2" w:rsidP="001167B2">
      <w:pPr>
        <w:spacing w:after="0" w:line="240" w:lineRule="auto"/>
        <w:rPr>
          <w:rFonts w:ascii="Verdana" w:hAnsi="Verdana"/>
          <w:b/>
          <w:sz w:val="16"/>
          <w:szCs w:val="16"/>
        </w:rPr>
      </w:pPr>
    </w:p>
    <w:tbl>
      <w:tblPr>
        <w:tblStyle w:val="Tabelraster"/>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4472C4" w:themeFill="accent1"/>
        <w:tblLook w:val="04A0" w:firstRow="1" w:lastRow="0" w:firstColumn="1" w:lastColumn="0" w:noHBand="0" w:noVBand="1"/>
      </w:tblPr>
      <w:tblGrid>
        <w:gridCol w:w="8964"/>
      </w:tblGrid>
      <w:tr w:rsidR="001167B2" w:rsidRPr="008C25B3" w14:paraId="7F5C79C5" w14:textId="77777777" w:rsidTr="00D54B1A">
        <w:trPr>
          <w:trHeight w:val="571"/>
        </w:trPr>
        <w:tc>
          <w:tcPr>
            <w:tcW w:w="8964" w:type="dxa"/>
            <w:shd w:val="clear" w:color="auto" w:fill="4472C4" w:themeFill="accent1"/>
          </w:tcPr>
          <w:p w14:paraId="1846EA0A" w14:textId="77777777" w:rsidR="001167B2" w:rsidRDefault="001167B2" w:rsidP="00D54B1A"/>
          <w:p w14:paraId="738D443E" w14:textId="77777777" w:rsidR="001167B2" w:rsidRPr="007461BC" w:rsidRDefault="001167B2" w:rsidP="00D54B1A">
            <w:pPr>
              <w:pStyle w:val="Titel"/>
              <w:jc w:val="center"/>
              <w:rPr>
                <w:rFonts w:asciiTheme="minorHAnsi" w:hAnsiTheme="minorHAnsi" w:cstheme="minorHAnsi"/>
                <w:color w:val="FFFFFF" w:themeColor="background1"/>
                <w:sz w:val="36"/>
                <w:szCs w:val="36"/>
              </w:rPr>
            </w:pPr>
            <w:r w:rsidRPr="007461BC">
              <w:rPr>
                <w:rFonts w:asciiTheme="minorHAnsi" w:hAnsiTheme="minorHAnsi" w:cstheme="minorHAnsi"/>
                <w:color w:val="FFFFFF" w:themeColor="background1"/>
              </w:rPr>
              <w:t>REMUNERATIEBELEID</w:t>
            </w:r>
          </w:p>
          <w:p w14:paraId="0D7FEAB9" w14:textId="77777777" w:rsidR="001167B2" w:rsidRPr="008C25B3" w:rsidRDefault="001167B2" w:rsidP="00D54B1A"/>
        </w:tc>
      </w:tr>
    </w:tbl>
    <w:p w14:paraId="19B86E1C" w14:textId="77777777" w:rsidR="001167B2" w:rsidRPr="00C94D35" w:rsidRDefault="001167B2" w:rsidP="001167B2">
      <w:pPr>
        <w:rPr>
          <w:rFonts w:ascii="Verdana" w:hAnsi="Verdana"/>
        </w:rPr>
      </w:pPr>
    </w:p>
    <w:p w14:paraId="5364DF3E" w14:textId="77777777" w:rsidR="001167B2" w:rsidRPr="007461BC" w:rsidRDefault="001167B2" w:rsidP="001167B2">
      <w:pPr>
        <w:jc w:val="both"/>
        <w:rPr>
          <w:rFonts w:cstheme="minorHAnsi"/>
          <w:sz w:val="20"/>
        </w:rPr>
      </w:pPr>
      <w:r w:rsidRPr="007461BC">
        <w:rPr>
          <w:rFonts w:cstheme="minorHAnsi"/>
          <w:sz w:val="20"/>
        </w:rPr>
        <w:t>Ons kantoor zet zich loyaal, billijk en professioneel in voor de belangen van haar klanten.</w:t>
      </w:r>
    </w:p>
    <w:p w14:paraId="5FD53AC4" w14:textId="77777777" w:rsidR="001167B2" w:rsidRDefault="001167B2" w:rsidP="001167B2">
      <w:pPr>
        <w:jc w:val="both"/>
        <w:rPr>
          <w:rFonts w:cstheme="minorHAnsi"/>
          <w:sz w:val="20"/>
        </w:rPr>
      </w:pPr>
      <w:r w:rsidRPr="007461BC">
        <w:rPr>
          <w:rFonts w:cstheme="minorHAnsi"/>
          <w:sz w:val="20"/>
        </w:rPr>
        <w:t xml:space="preserve">Het remuneratiebeleid van het personeel van ons kantoor of elke andere verbonden persoon (bv. een subagent) leeft deze verplichting na. Er wordt geen enkele regeling getroffen op het gebied van beloning, op het gebied van verkoopdoelen of anderszins, die hemzelf of zijn werknemers ertoe kan aanzetten een klant een bepaald verzekeringsproduct aan te bevelen, terwijl de verzekeringsdistributeur een ander verzekeringsproduct zou kunnen aanbieden dat beter aan de behoeften van de desbetreffende klant zou voldoen. </w:t>
      </w:r>
    </w:p>
    <w:p w14:paraId="123C6AF7" w14:textId="77777777" w:rsidR="001167B2" w:rsidRPr="007461BC" w:rsidRDefault="001167B2" w:rsidP="001167B2">
      <w:pPr>
        <w:jc w:val="both"/>
        <w:rPr>
          <w:rFonts w:cstheme="minorHAnsi"/>
          <w:sz w:val="20"/>
        </w:rPr>
      </w:pPr>
      <w:r w:rsidRPr="007461BC">
        <w:rPr>
          <w:rFonts w:cstheme="minorHAnsi"/>
          <w:sz w:val="20"/>
        </w:rPr>
        <w:t>In dit kader heeft ons kantoor het hierna volgend remuneratiebeleid geïmplementeerd:</w:t>
      </w:r>
    </w:p>
    <w:p w14:paraId="32E03F94" w14:textId="77777777" w:rsidR="001167B2" w:rsidRPr="007461BC" w:rsidRDefault="001167B2" w:rsidP="001167B2">
      <w:pPr>
        <w:pStyle w:val="Kop1"/>
        <w:rPr>
          <w:rFonts w:asciiTheme="minorHAnsi" w:hAnsiTheme="minorHAnsi" w:cstheme="minorHAnsi"/>
        </w:rPr>
      </w:pPr>
      <w:r w:rsidRPr="007461BC">
        <w:rPr>
          <w:rFonts w:asciiTheme="minorHAnsi" w:hAnsiTheme="minorHAnsi" w:cstheme="minorHAnsi"/>
        </w:rPr>
        <w:t>1. VERGOEDING</w:t>
      </w:r>
    </w:p>
    <w:p w14:paraId="5FF3CCEE" w14:textId="77777777" w:rsidR="001167B2" w:rsidRPr="007461BC" w:rsidRDefault="001167B2" w:rsidP="001167B2">
      <w:pPr>
        <w:pStyle w:val="Lijstalinea"/>
        <w:ind w:left="426"/>
        <w:rPr>
          <w:rFonts w:cstheme="minorHAnsi"/>
          <w:b/>
          <w:sz w:val="20"/>
        </w:rPr>
      </w:pPr>
    </w:p>
    <w:p w14:paraId="2709C132" w14:textId="77777777" w:rsidR="001167B2" w:rsidRPr="007461BC" w:rsidRDefault="001167B2" w:rsidP="001167B2">
      <w:pPr>
        <w:pStyle w:val="Lijstalinea"/>
        <w:jc w:val="both"/>
        <w:rPr>
          <w:rFonts w:cstheme="minorHAnsi"/>
          <w:sz w:val="20"/>
        </w:rPr>
      </w:pPr>
      <w:r w:rsidRPr="007461BC">
        <w:rPr>
          <w:rFonts w:cstheme="minorHAnsi"/>
          <w:sz w:val="20"/>
        </w:rPr>
        <w:t>Ons kantoor vergoedt enkel via een vaste verloning, welke niet gebonden is aan de realisatie van commerciële doelstellingen.</w:t>
      </w:r>
    </w:p>
    <w:p w14:paraId="3C4562DF" w14:textId="77777777" w:rsidR="001167B2" w:rsidRPr="007461BC" w:rsidRDefault="001167B2" w:rsidP="001167B2">
      <w:pPr>
        <w:ind w:left="426"/>
        <w:jc w:val="both"/>
        <w:rPr>
          <w:rFonts w:cstheme="minorHAnsi"/>
          <w:sz w:val="20"/>
        </w:rPr>
      </w:pPr>
      <w:r w:rsidRPr="007461BC">
        <w:rPr>
          <w:rFonts w:cstheme="minorHAnsi"/>
          <w:sz w:val="20"/>
        </w:rPr>
        <w:t>OF</w:t>
      </w:r>
    </w:p>
    <w:p w14:paraId="4CEED855" w14:textId="77777777" w:rsidR="001167B2" w:rsidRDefault="001167B2" w:rsidP="001167B2">
      <w:pPr>
        <w:pStyle w:val="Lijstalinea"/>
        <w:jc w:val="both"/>
        <w:rPr>
          <w:rFonts w:cstheme="minorHAnsi"/>
          <w:sz w:val="20"/>
        </w:rPr>
      </w:pPr>
      <w:r w:rsidRPr="007461BC">
        <w:rPr>
          <w:rFonts w:cstheme="minorHAnsi"/>
          <w:sz w:val="20"/>
        </w:rPr>
        <w:t>Ons kantoor werkt met vaste en variabele verloningen. Indien ons kantoor een variabele verloning toekent ziet ons kantoor erop toe dat:</w:t>
      </w:r>
    </w:p>
    <w:p w14:paraId="01EE0E1F" w14:textId="77777777" w:rsidR="001167B2" w:rsidRPr="007461BC" w:rsidRDefault="001167B2" w:rsidP="001167B2">
      <w:pPr>
        <w:pStyle w:val="Lijstalinea"/>
        <w:jc w:val="both"/>
        <w:rPr>
          <w:rFonts w:cstheme="minorHAnsi"/>
          <w:sz w:val="20"/>
        </w:rPr>
      </w:pPr>
    </w:p>
    <w:p w14:paraId="24A07B8D" w14:textId="77777777" w:rsidR="001167B2" w:rsidRPr="007461BC" w:rsidRDefault="001167B2" w:rsidP="001167B2">
      <w:pPr>
        <w:pStyle w:val="Lijstalinea"/>
        <w:numPr>
          <w:ilvl w:val="0"/>
          <w:numId w:val="1"/>
        </w:numPr>
        <w:ind w:left="1080"/>
        <w:jc w:val="both"/>
        <w:rPr>
          <w:rFonts w:cstheme="minorHAnsi"/>
          <w:sz w:val="20"/>
        </w:rPr>
      </w:pPr>
      <w:r>
        <w:rPr>
          <w:rFonts w:cstheme="minorHAnsi"/>
          <w:sz w:val="20"/>
        </w:rPr>
        <w:t>D</w:t>
      </w:r>
      <w:r w:rsidRPr="007461BC">
        <w:rPr>
          <w:rFonts w:cstheme="minorHAnsi"/>
          <w:sz w:val="20"/>
        </w:rPr>
        <w:t>e variabele vergoeding geen afbreuk doet aan de belangen van de klanten;</w:t>
      </w:r>
    </w:p>
    <w:p w14:paraId="3BB0A438" w14:textId="77777777" w:rsidR="001167B2" w:rsidRPr="007461BC" w:rsidRDefault="001167B2" w:rsidP="001167B2">
      <w:pPr>
        <w:pStyle w:val="Lijstalinea"/>
        <w:ind w:left="360"/>
        <w:jc w:val="both"/>
        <w:rPr>
          <w:rFonts w:cstheme="minorHAnsi"/>
          <w:sz w:val="20"/>
        </w:rPr>
      </w:pPr>
    </w:p>
    <w:p w14:paraId="0298DA94" w14:textId="77777777" w:rsidR="001167B2" w:rsidRPr="007461BC" w:rsidRDefault="001167B2" w:rsidP="001167B2">
      <w:pPr>
        <w:pStyle w:val="Lijstalinea"/>
        <w:numPr>
          <w:ilvl w:val="0"/>
          <w:numId w:val="1"/>
        </w:numPr>
        <w:ind w:left="1080"/>
        <w:jc w:val="both"/>
        <w:rPr>
          <w:rFonts w:cstheme="minorHAnsi"/>
          <w:sz w:val="20"/>
        </w:rPr>
      </w:pPr>
      <w:r>
        <w:rPr>
          <w:rFonts w:cstheme="minorHAnsi"/>
          <w:sz w:val="20"/>
        </w:rPr>
        <w:t>D</w:t>
      </w:r>
      <w:r w:rsidRPr="007461BC">
        <w:rPr>
          <w:rFonts w:cstheme="minorHAnsi"/>
          <w:sz w:val="20"/>
        </w:rPr>
        <w:t>e variabele vergoeding een beperkt deel zal uitmaken van de totale vergoeding;</w:t>
      </w:r>
    </w:p>
    <w:p w14:paraId="3D061843" w14:textId="77777777" w:rsidR="001167B2" w:rsidRPr="007461BC" w:rsidRDefault="001167B2" w:rsidP="001167B2">
      <w:pPr>
        <w:pStyle w:val="Lijstalinea"/>
        <w:ind w:left="360"/>
        <w:jc w:val="both"/>
        <w:rPr>
          <w:rFonts w:cstheme="minorHAnsi"/>
          <w:sz w:val="20"/>
        </w:rPr>
      </w:pPr>
    </w:p>
    <w:p w14:paraId="2DDD9A89" w14:textId="77777777" w:rsidR="001167B2" w:rsidRPr="007461BC" w:rsidRDefault="001167B2" w:rsidP="001167B2">
      <w:pPr>
        <w:pStyle w:val="Lijstalinea"/>
        <w:numPr>
          <w:ilvl w:val="0"/>
          <w:numId w:val="1"/>
        </w:numPr>
        <w:ind w:left="1080"/>
        <w:jc w:val="both"/>
        <w:rPr>
          <w:rFonts w:cstheme="minorHAnsi"/>
          <w:sz w:val="20"/>
        </w:rPr>
      </w:pPr>
      <w:r>
        <w:rPr>
          <w:rFonts w:cstheme="minorHAnsi"/>
          <w:sz w:val="20"/>
        </w:rPr>
        <w:lastRenderedPageBreak/>
        <w:t>D</w:t>
      </w:r>
      <w:r w:rsidRPr="007461BC">
        <w:rPr>
          <w:rFonts w:cstheme="minorHAnsi"/>
          <w:sz w:val="20"/>
        </w:rPr>
        <w:t>e variabele vergoeding niet wordt berekend op basis van de realisatie van de verkoop van welbepaalde producten, maar op basis van de totaliteit van de prestaties;</w:t>
      </w:r>
    </w:p>
    <w:p w14:paraId="297E3C3C" w14:textId="77777777" w:rsidR="001167B2" w:rsidRPr="007461BC" w:rsidRDefault="001167B2" w:rsidP="001167B2">
      <w:pPr>
        <w:pStyle w:val="Lijstalinea"/>
        <w:ind w:left="360"/>
        <w:jc w:val="both"/>
        <w:rPr>
          <w:rFonts w:cstheme="minorHAnsi"/>
          <w:sz w:val="20"/>
        </w:rPr>
      </w:pPr>
    </w:p>
    <w:p w14:paraId="6AD981B1" w14:textId="77777777" w:rsidR="001167B2" w:rsidRDefault="001167B2" w:rsidP="001167B2">
      <w:pPr>
        <w:pStyle w:val="Lijstalinea"/>
        <w:numPr>
          <w:ilvl w:val="0"/>
          <w:numId w:val="1"/>
        </w:numPr>
        <w:ind w:left="1080"/>
        <w:jc w:val="both"/>
        <w:rPr>
          <w:rFonts w:cstheme="minorHAnsi"/>
          <w:sz w:val="20"/>
        </w:rPr>
      </w:pPr>
      <w:r>
        <w:rPr>
          <w:rFonts w:cstheme="minorHAnsi"/>
          <w:sz w:val="20"/>
        </w:rPr>
        <w:t>K</w:t>
      </w:r>
      <w:r w:rsidRPr="007461BC">
        <w:rPr>
          <w:rFonts w:cstheme="minorHAnsi"/>
          <w:sz w:val="20"/>
        </w:rPr>
        <w:t xml:space="preserve">walitatieve criteria zoals de naleving van de gedragsregels, de kwaliteit van de dienstverlening en/of de klanttevredenheid worden gerespecteerd;  </w:t>
      </w:r>
    </w:p>
    <w:p w14:paraId="35515079" w14:textId="77777777" w:rsidR="001167B2" w:rsidRPr="007C5AB3" w:rsidRDefault="001167B2" w:rsidP="001167B2">
      <w:pPr>
        <w:pStyle w:val="Lijstalinea"/>
        <w:rPr>
          <w:rFonts w:cstheme="minorHAnsi"/>
          <w:sz w:val="20"/>
        </w:rPr>
      </w:pPr>
    </w:p>
    <w:p w14:paraId="0B88FE76" w14:textId="77777777" w:rsidR="001167B2" w:rsidRPr="00544FA4" w:rsidRDefault="001167B2" w:rsidP="001167B2">
      <w:pPr>
        <w:pStyle w:val="Lijstalinea"/>
        <w:numPr>
          <w:ilvl w:val="0"/>
          <w:numId w:val="1"/>
        </w:numPr>
        <w:ind w:left="1080"/>
        <w:jc w:val="both"/>
        <w:rPr>
          <w:rFonts w:cstheme="minorHAnsi"/>
          <w:sz w:val="20"/>
        </w:rPr>
      </w:pPr>
      <w:r w:rsidRPr="00544FA4">
        <w:rPr>
          <w:rFonts w:cstheme="minorHAnsi"/>
          <w:i/>
          <w:iCs/>
          <w:sz w:val="20"/>
        </w:rPr>
        <w:t>(Enkel indien u actief bent in 4</w:t>
      </w:r>
      <w:r w:rsidRPr="00544FA4">
        <w:rPr>
          <w:rFonts w:cstheme="minorHAnsi"/>
          <w:i/>
          <w:iCs/>
          <w:sz w:val="20"/>
          <w:vertAlign w:val="superscript"/>
        </w:rPr>
        <w:t>de</w:t>
      </w:r>
      <w:r w:rsidRPr="00544FA4">
        <w:rPr>
          <w:rFonts w:cstheme="minorHAnsi"/>
          <w:i/>
          <w:iCs/>
          <w:sz w:val="20"/>
        </w:rPr>
        <w:t xml:space="preserve"> pijler - verzekeringen met een beleggingscomponent) </w:t>
      </w:r>
      <w:r w:rsidRPr="00544FA4">
        <w:rPr>
          <w:rFonts w:cstheme="minorHAnsi"/>
          <w:sz w:val="20"/>
        </w:rPr>
        <w:t>De variabele vergoeding zet niet aan tot het nemen van buitensporige risico’s in verband met duurzaamheidsrisico’s.</w:t>
      </w:r>
    </w:p>
    <w:p w14:paraId="2196B9CE" w14:textId="77777777" w:rsidR="001167B2" w:rsidRPr="007461BC" w:rsidRDefault="001167B2" w:rsidP="001167B2">
      <w:pPr>
        <w:pStyle w:val="Lijstalinea"/>
        <w:ind w:left="1560"/>
        <w:jc w:val="both"/>
        <w:rPr>
          <w:rFonts w:cstheme="minorHAnsi"/>
          <w:sz w:val="20"/>
        </w:rPr>
      </w:pPr>
    </w:p>
    <w:p w14:paraId="29732B85" w14:textId="604BD730" w:rsidR="001167B2" w:rsidRDefault="001167B2" w:rsidP="00A63002">
      <w:pPr>
        <w:ind w:left="360"/>
        <w:jc w:val="both"/>
        <w:rPr>
          <w:rFonts w:cstheme="minorHAnsi"/>
          <w:sz w:val="20"/>
        </w:rPr>
      </w:pPr>
      <w:r w:rsidRPr="007461BC">
        <w:rPr>
          <w:rFonts w:cstheme="minorHAnsi"/>
          <w:sz w:val="20"/>
        </w:rPr>
        <w:t>Wanneer blijkt dat de belangen van de klant niet werden gerespecteerd, wordt de variabele vergoeding teruggevorderd en worden de nodige maatregelen genomen ten aanzien van de betrokken persoon.</w:t>
      </w:r>
    </w:p>
    <w:p w14:paraId="588B3FAD" w14:textId="77777777" w:rsidR="003F64C1" w:rsidRPr="0096441D" w:rsidRDefault="003F64C1" w:rsidP="00A63002">
      <w:pPr>
        <w:ind w:left="360"/>
        <w:jc w:val="both"/>
        <w:rPr>
          <w:rFonts w:cstheme="minorHAnsi"/>
          <w:sz w:val="20"/>
        </w:rPr>
      </w:pPr>
    </w:p>
    <w:p w14:paraId="425953AD" w14:textId="77777777" w:rsidR="001167B2" w:rsidRPr="007461BC" w:rsidRDefault="001167B2" w:rsidP="001167B2">
      <w:pPr>
        <w:pStyle w:val="Kop1"/>
        <w:rPr>
          <w:rFonts w:asciiTheme="minorHAnsi" w:hAnsiTheme="minorHAnsi" w:cstheme="minorHAnsi"/>
        </w:rPr>
      </w:pPr>
      <w:r w:rsidRPr="007461BC">
        <w:rPr>
          <w:rFonts w:asciiTheme="minorHAnsi" w:hAnsiTheme="minorHAnsi" w:cstheme="minorHAnsi"/>
        </w:rPr>
        <w:t xml:space="preserve">2. INCENTIVES </w:t>
      </w:r>
      <w:r w:rsidRPr="007461BC">
        <w:rPr>
          <w:rFonts w:asciiTheme="minorHAnsi" w:hAnsiTheme="minorHAnsi" w:cstheme="minorHAnsi"/>
          <w:sz w:val="24"/>
          <w:szCs w:val="24"/>
        </w:rPr>
        <w:t>(niet- geldelijke voordelen)</w:t>
      </w:r>
    </w:p>
    <w:p w14:paraId="77EBDCD3" w14:textId="77777777" w:rsidR="001167B2" w:rsidRPr="007461BC" w:rsidRDefault="001167B2" w:rsidP="001167B2">
      <w:pPr>
        <w:pStyle w:val="Lijstalinea"/>
        <w:ind w:left="786"/>
        <w:rPr>
          <w:rFonts w:cstheme="minorHAnsi"/>
          <w:sz w:val="20"/>
        </w:rPr>
      </w:pPr>
    </w:p>
    <w:p w14:paraId="2E8387B6" w14:textId="77777777" w:rsidR="001167B2" w:rsidRPr="007461BC" w:rsidRDefault="001167B2" w:rsidP="001167B2">
      <w:pPr>
        <w:pStyle w:val="Lijstalinea"/>
        <w:ind w:left="786"/>
        <w:jc w:val="both"/>
        <w:rPr>
          <w:rFonts w:cstheme="minorHAnsi"/>
          <w:sz w:val="20"/>
        </w:rPr>
      </w:pPr>
      <w:r w:rsidRPr="007461BC">
        <w:rPr>
          <w:rFonts w:cstheme="minorHAnsi"/>
          <w:sz w:val="20"/>
        </w:rPr>
        <w:t>Ons kantoor maakt geen gebruik van incentives.</w:t>
      </w:r>
    </w:p>
    <w:p w14:paraId="06FA0ABE" w14:textId="77777777" w:rsidR="001167B2" w:rsidRPr="007461BC" w:rsidRDefault="001167B2" w:rsidP="001167B2">
      <w:pPr>
        <w:ind w:left="426"/>
        <w:jc w:val="both"/>
        <w:rPr>
          <w:rFonts w:cstheme="minorHAnsi"/>
          <w:sz w:val="20"/>
        </w:rPr>
      </w:pPr>
      <w:r w:rsidRPr="007461BC">
        <w:rPr>
          <w:rFonts w:cstheme="minorHAnsi"/>
          <w:sz w:val="20"/>
        </w:rPr>
        <w:t>OF</w:t>
      </w:r>
    </w:p>
    <w:p w14:paraId="417AC249" w14:textId="77777777" w:rsidR="001167B2" w:rsidRPr="007461BC" w:rsidRDefault="001167B2" w:rsidP="001167B2">
      <w:pPr>
        <w:pStyle w:val="Lijstalinea"/>
        <w:ind w:left="786"/>
        <w:jc w:val="both"/>
        <w:rPr>
          <w:rFonts w:cstheme="minorHAnsi"/>
          <w:sz w:val="20"/>
        </w:rPr>
      </w:pPr>
      <w:r w:rsidRPr="007461BC">
        <w:rPr>
          <w:rFonts w:cstheme="minorHAnsi"/>
          <w:sz w:val="20"/>
        </w:rPr>
        <w:t>Onder de hiernavolgende strikte voorwaarden kan ons kantoor gebruik maken van incentives:</w:t>
      </w:r>
      <w:r w:rsidRPr="007461BC">
        <w:rPr>
          <w:rFonts w:cstheme="minorHAnsi"/>
          <w:sz w:val="20"/>
        </w:rPr>
        <w:br/>
      </w:r>
    </w:p>
    <w:p w14:paraId="1D7C4B41" w14:textId="77777777" w:rsidR="001167B2" w:rsidRPr="007461BC" w:rsidRDefault="001167B2" w:rsidP="001167B2">
      <w:pPr>
        <w:pStyle w:val="Lijstalinea"/>
        <w:numPr>
          <w:ilvl w:val="0"/>
          <w:numId w:val="2"/>
        </w:numPr>
        <w:jc w:val="both"/>
        <w:rPr>
          <w:rFonts w:cstheme="minorHAnsi"/>
          <w:sz w:val="20"/>
        </w:rPr>
      </w:pPr>
      <w:r>
        <w:rPr>
          <w:rFonts w:cstheme="minorHAnsi"/>
          <w:sz w:val="20"/>
        </w:rPr>
        <w:t>D</w:t>
      </w:r>
      <w:r w:rsidRPr="007461BC">
        <w:rPr>
          <w:rFonts w:cstheme="minorHAnsi"/>
          <w:sz w:val="20"/>
        </w:rPr>
        <w:t>e incentive  doet geen afbreuk aan de belangen van de klanten;</w:t>
      </w:r>
    </w:p>
    <w:p w14:paraId="445FC332" w14:textId="77777777" w:rsidR="001167B2" w:rsidRPr="007461BC" w:rsidRDefault="001167B2" w:rsidP="001167B2">
      <w:pPr>
        <w:pStyle w:val="Lijstalinea"/>
        <w:numPr>
          <w:ilvl w:val="0"/>
          <w:numId w:val="2"/>
        </w:numPr>
        <w:jc w:val="both"/>
        <w:rPr>
          <w:rFonts w:cstheme="minorHAnsi"/>
          <w:sz w:val="20"/>
        </w:rPr>
      </w:pPr>
      <w:r>
        <w:rPr>
          <w:rFonts w:cstheme="minorHAnsi"/>
          <w:sz w:val="20"/>
        </w:rPr>
        <w:t>D</w:t>
      </w:r>
      <w:r w:rsidRPr="007461BC">
        <w:rPr>
          <w:rFonts w:cstheme="minorHAnsi"/>
          <w:sz w:val="20"/>
        </w:rPr>
        <w:t>e incentive is niet verbonden aan één welbepaald product of een beperkt gamma van producten (product van de maand is verboden);</w:t>
      </w:r>
    </w:p>
    <w:p w14:paraId="28D0330D" w14:textId="77777777" w:rsidR="001167B2" w:rsidRPr="007461BC" w:rsidRDefault="001167B2" w:rsidP="001167B2">
      <w:pPr>
        <w:pStyle w:val="Lijstalinea"/>
        <w:numPr>
          <w:ilvl w:val="0"/>
          <w:numId w:val="2"/>
        </w:numPr>
        <w:jc w:val="both"/>
        <w:rPr>
          <w:rFonts w:cstheme="minorHAnsi"/>
          <w:sz w:val="20"/>
        </w:rPr>
      </w:pPr>
      <w:r>
        <w:rPr>
          <w:rFonts w:cstheme="minorHAnsi"/>
          <w:sz w:val="20"/>
        </w:rPr>
        <w:t>D</w:t>
      </w:r>
      <w:r w:rsidRPr="007461BC">
        <w:rPr>
          <w:rFonts w:cstheme="minorHAnsi"/>
          <w:sz w:val="20"/>
        </w:rPr>
        <w:t>e waarde van de incentive is beperkt en redelijk;</w:t>
      </w:r>
    </w:p>
    <w:p w14:paraId="5643440D" w14:textId="77777777" w:rsidR="001167B2" w:rsidRPr="005F5F71" w:rsidRDefault="001167B2" w:rsidP="001167B2">
      <w:pPr>
        <w:pStyle w:val="Lijstalinea"/>
        <w:numPr>
          <w:ilvl w:val="0"/>
          <w:numId w:val="2"/>
        </w:numPr>
        <w:jc w:val="both"/>
        <w:rPr>
          <w:rFonts w:cstheme="minorHAnsi"/>
          <w:sz w:val="20"/>
        </w:rPr>
      </w:pPr>
      <w:r>
        <w:rPr>
          <w:rFonts w:cstheme="minorHAnsi"/>
          <w:sz w:val="20"/>
        </w:rPr>
        <w:t>D</w:t>
      </w:r>
      <w:r w:rsidRPr="007461BC">
        <w:rPr>
          <w:rFonts w:cstheme="minorHAnsi"/>
          <w:sz w:val="20"/>
        </w:rPr>
        <w:t>e periode die in overweging wordt genomen voor de toekenning van de incentive is voldoende lang;</w:t>
      </w:r>
    </w:p>
    <w:p w14:paraId="6D9687C1" w14:textId="77777777" w:rsidR="001167B2" w:rsidRPr="00544FA4" w:rsidRDefault="001167B2" w:rsidP="001167B2">
      <w:pPr>
        <w:pStyle w:val="Lijstalinea"/>
        <w:numPr>
          <w:ilvl w:val="0"/>
          <w:numId w:val="2"/>
        </w:numPr>
        <w:jc w:val="both"/>
        <w:rPr>
          <w:rFonts w:cstheme="minorHAnsi"/>
          <w:sz w:val="20"/>
        </w:rPr>
      </w:pPr>
      <w:r w:rsidRPr="00544FA4">
        <w:rPr>
          <w:rFonts w:cstheme="minorHAnsi"/>
          <w:i/>
          <w:iCs/>
          <w:sz w:val="20"/>
        </w:rPr>
        <w:t>(Enkel indien u actief bent in 4</w:t>
      </w:r>
      <w:r w:rsidRPr="00544FA4">
        <w:rPr>
          <w:rFonts w:cstheme="minorHAnsi"/>
          <w:i/>
          <w:iCs/>
          <w:sz w:val="20"/>
          <w:vertAlign w:val="superscript"/>
        </w:rPr>
        <w:t>de</w:t>
      </w:r>
      <w:r w:rsidRPr="00544FA4">
        <w:rPr>
          <w:rFonts w:cstheme="minorHAnsi"/>
          <w:i/>
          <w:iCs/>
          <w:sz w:val="20"/>
        </w:rPr>
        <w:t xml:space="preserve"> pijler - verzekeringen met een beleggingscomponent) </w:t>
      </w:r>
      <w:r w:rsidRPr="00544FA4">
        <w:rPr>
          <w:rFonts w:cstheme="minorHAnsi"/>
          <w:sz w:val="20"/>
        </w:rPr>
        <w:t>De incentive zet niet aan tot het nemen van buitensporige risico’s in verband met duurzaamheidsrisico’s.</w:t>
      </w:r>
    </w:p>
    <w:p w14:paraId="42E2D992" w14:textId="7116B79F" w:rsidR="001167B2" w:rsidRDefault="001167B2" w:rsidP="001167B2">
      <w:pPr>
        <w:ind w:left="426"/>
        <w:jc w:val="both"/>
        <w:rPr>
          <w:rFonts w:cstheme="minorHAnsi"/>
          <w:sz w:val="20"/>
        </w:rPr>
      </w:pPr>
      <w:r w:rsidRPr="007461BC">
        <w:rPr>
          <w:rFonts w:cstheme="minorHAnsi"/>
          <w:sz w:val="20"/>
        </w:rPr>
        <w:t xml:space="preserve">Wanneer blijkt dat de belangen van de klant niet werden gerespecteerd, wordt de incentive of, in gebeurlijk geval, de waarde ervan, onmiddellijk teruggegeven en worden de geijkte maatregelen genomen tegenover de betrokken persoon. </w:t>
      </w:r>
    </w:p>
    <w:p w14:paraId="0F8F3E8F" w14:textId="77777777" w:rsidR="003F64C1" w:rsidRPr="007461BC" w:rsidRDefault="003F64C1" w:rsidP="001167B2">
      <w:pPr>
        <w:ind w:left="426"/>
        <w:jc w:val="both"/>
        <w:rPr>
          <w:rFonts w:cstheme="minorHAnsi"/>
          <w:sz w:val="20"/>
        </w:rPr>
      </w:pPr>
    </w:p>
    <w:p w14:paraId="13C18398" w14:textId="77777777" w:rsidR="001167B2" w:rsidRPr="007461BC" w:rsidRDefault="001167B2" w:rsidP="001167B2">
      <w:pPr>
        <w:pStyle w:val="Kop1"/>
        <w:rPr>
          <w:rFonts w:asciiTheme="minorHAnsi" w:hAnsiTheme="minorHAnsi" w:cstheme="minorHAnsi"/>
        </w:rPr>
      </w:pPr>
      <w:r w:rsidRPr="007461BC">
        <w:rPr>
          <w:rFonts w:asciiTheme="minorHAnsi" w:hAnsiTheme="minorHAnsi" w:cstheme="minorHAnsi"/>
        </w:rPr>
        <w:t>3. COMMERCIELE DOELSTELLINGEN</w:t>
      </w:r>
    </w:p>
    <w:p w14:paraId="01E211A0" w14:textId="77777777" w:rsidR="001167B2" w:rsidRPr="007461BC" w:rsidRDefault="001167B2" w:rsidP="001167B2">
      <w:pPr>
        <w:pStyle w:val="Lijstalinea"/>
        <w:ind w:left="786"/>
        <w:jc w:val="both"/>
        <w:rPr>
          <w:rFonts w:cstheme="minorHAnsi"/>
          <w:b/>
          <w:sz w:val="20"/>
        </w:rPr>
      </w:pPr>
    </w:p>
    <w:p w14:paraId="58CACB77" w14:textId="77777777" w:rsidR="001167B2" w:rsidRPr="007461BC" w:rsidRDefault="001167B2" w:rsidP="001167B2">
      <w:pPr>
        <w:pStyle w:val="Lijstalinea"/>
        <w:ind w:left="786"/>
        <w:jc w:val="both"/>
        <w:rPr>
          <w:rFonts w:cstheme="minorHAnsi"/>
          <w:sz w:val="20"/>
          <w:szCs w:val="20"/>
        </w:rPr>
      </w:pPr>
      <w:r w:rsidRPr="007461BC">
        <w:rPr>
          <w:rFonts w:cstheme="minorHAnsi"/>
          <w:sz w:val="20"/>
          <w:szCs w:val="20"/>
        </w:rPr>
        <w:t>Ons kantoor stelt geen commerciële doelstellingen vast.</w:t>
      </w:r>
    </w:p>
    <w:p w14:paraId="76EC71BE" w14:textId="77777777" w:rsidR="001167B2" w:rsidRPr="007461BC" w:rsidRDefault="001167B2" w:rsidP="001167B2">
      <w:pPr>
        <w:ind w:left="426"/>
        <w:jc w:val="both"/>
        <w:rPr>
          <w:rFonts w:cstheme="minorHAnsi"/>
          <w:sz w:val="20"/>
          <w:szCs w:val="20"/>
        </w:rPr>
      </w:pPr>
      <w:r w:rsidRPr="007461BC">
        <w:rPr>
          <w:rFonts w:cstheme="minorHAnsi"/>
          <w:sz w:val="20"/>
          <w:szCs w:val="20"/>
        </w:rPr>
        <w:lastRenderedPageBreak/>
        <w:t>OF</w:t>
      </w:r>
    </w:p>
    <w:p w14:paraId="765D64C7" w14:textId="77777777" w:rsidR="0096441D" w:rsidRDefault="001167B2" w:rsidP="001167B2">
      <w:pPr>
        <w:pStyle w:val="Lijstalinea"/>
        <w:ind w:left="786"/>
        <w:jc w:val="both"/>
        <w:rPr>
          <w:rFonts w:cstheme="minorHAnsi"/>
          <w:sz w:val="20"/>
          <w:szCs w:val="20"/>
        </w:rPr>
      </w:pPr>
      <w:r w:rsidRPr="007461BC">
        <w:rPr>
          <w:rFonts w:cstheme="minorHAnsi"/>
          <w:sz w:val="20"/>
          <w:szCs w:val="20"/>
        </w:rPr>
        <w:t>Bij het vaststellen van eventuele commerciële doelstellingen neemt ons kantoor de volgende voorwaarden in acht:</w:t>
      </w:r>
    </w:p>
    <w:p w14:paraId="67D46AE0" w14:textId="77F0163C" w:rsidR="001167B2" w:rsidRPr="007461BC" w:rsidRDefault="001167B2" w:rsidP="001167B2">
      <w:pPr>
        <w:pStyle w:val="Lijstalinea"/>
        <w:ind w:left="786"/>
        <w:jc w:val="both"/>
        <w:rPr>
          <w:rFonts w:cstheme="minorHAnsi"/>
          <w:sz w:val="20"/>
          <w:szCs w:val="20"/>
        </w:rPr>
      </w:pPr>
    </w:p>
    <w:p w14:paraId="5B150018" w14:textId="77777777" w:rsidR="001167B2" w:rsidRPr="007461BC" w:rsidRDefault="001167B2" w:rsidP="001167B2">
      <w:pPr>
        <w:pStyle w:val="Lijstalinea"/>
        <w:numPr>
          <w:ilvl w:val="0"/>
          <w:numId w:val="3"/>
        </w:numPr>
        <w:jc w:val="both"/>
        <w:rPr>
          <w:rFonts w:cstheme="minorHAnsi"/>
          <w:sz w:val="20"/>
          <w:szCs w:val="20"/>
        </w:rPr>
      </w:pPr>
      <w:r>
        <w:rPr>
          <w:rFonts w:cstheme="minorHAnsi"/>
          <w:sz w:val="20"/>
          <w:szCs w:val="20"/>
        </w:rPr>
        <w:t>D</w:t>
      </w:r>
      <w:r w:rsidRPr="007461BC">
        <w:rPr>
          <w:rFonts w:cstheme="minorHAnsi"/>
          <w:sz w:val="20"/>
          <w:szCs w:val="20"/>
        </w:rPr>
        <w:t>e commerciële doelstelling doet geen afbreuk aan de belangen van de klanten;</w:t>
      </w:r>
    </w:p>
    <w:p w14:paraId="4FB18810" w14:textId="77777777" w:rsidR="001167B2" w:rsidRPr="007461BC" w:rsidRDefault="001167B2" w:rsidP="001167B2">
      <w:pPr>
        <w:pStyle w:val="Lijstalinea"/>
        <w:numPr>
          <w:ilvl w:val="0"/>
          <w:numId w:val="3"/>
        </w:numPr>
        <w:jc w:val="both"/>
        <w:rPr>
          <w:rFonts w:cstheme="minorHAnsi"/>
          <w:sz w:val="20"/>
          <w:szCs w:val="20"/>
        </w:rPr>
      </w:pPr>
      <w:r>
        <w:rPr>
          <w:rFonts w:cstheme="minorHAnsi"/>
          <w:sz w:val="20"/>
          <w:szCs w:val="20"/>
        </w:rPr>
        <w:t>D</w:t>
      </w:r>
      <w:r w:rsidRPr="007461BC">
        <w:rPr>
          <w:rFonts w:cstheme="minorHAnsi"/>
          <w:sz w:val="20"/>
          <w:szCs w:val="20"/>
        </w:rPr>
        <w:t>e commerciële doelstelling is niet verbonden aan één welbepaald product of een beperkt gamma van producten ( product van de maand is verboden);</w:t>
      </w:r>
    </w:p>
    <w:p w14:paraId="68BDA481" w14:textId="77777777" w:rsidR="001167B2" w:rsidRPr="007461BC" w:rsidRDefault="001167B2" w:rsidP="001167B2">
      <w:pPr>
        <w:pStyle w:val="Lijstalinea"/>
        <w:numPr>
          <w:ilvl w:val="0"/>
          <w:numId w:val="3"/>
        </w:numPr>
        <w:jc w:val="both"/>
        <w:rPr>
          <w:rFonts w:cstheme="minorHAnsi"/>
          <w:sz w:val="20"/>
          <w:szCs w:val="20"/>
        </w:rPr>
      </w:pPr>
      <w:r>
        <w:rPr>
          <w:rFonts w:cstheme="minorHAnsi"/>
          <w:sz w:val="20"/>
          <w:szCs w:val="20"/>
        </w:rPr>
        <w:t>H</w:t>
      </w:r>
      <w:r w:rsidRPr="007461BC">
        <w:rPr>
          <w:rFonts w:cstheme="minorHAnsi"/>
          <w:sz w:val="20"/>
          <w:szCs w:val="20"/>
        </w:rPr>
        <w:t>et bedrag dat toegekend wordt n.a.v. het behalen van de commerciële doelstelling is beperkt en redelijk;</w:t>
      </w:r>
    </w:p>
    <w:p w14:paraId="4E5CC8C5" w14:textId="77777777" w:rsidR="001167B2" w:rsidRPr="005F5F71" w:rsidRDefault="001167B2" w:rsidP="001167B2">
      <w:pPr>
        <w:pStyle w:val="Lijstalinea"/>
        <w:numPr>
          <w:ilvl w:val="0"/>
          <w:numId w:val="3"/>
        </w:numPr>
        <w:jc w:val="both"/>
        <w:rPr>
          <w:rFonts w:cstheme="minorHAnsi"/>
          <w:sz w:val="20"/>
          <w:szCs w:val="20"/>
        </w:rPr>
      </w:pPr>
      <w:r>
        <w:rPr>
          <w:rFonts w:cstheme="minorHAnsi"/>
          <w:sz w:val="20"/>
          <w:szCs w:val="20"/>
        </w:rPr>
        <w:t>D</w:t>
      </w:r>
      <w:r w:rsidRPr="007461BC">
        <w:rPr>
          <w:rFonts w:cstheme="minorHAnsi"/>
          <w:sz w:val="20"/>
          <w:szCs w:val="20"/>
        </w:rPr>
        <w:t>e periode die in overweging wordt genomen voor de toekenning van commerciële doelstellingen is voldoende lang;</w:t>
      </w:r>
    </w:p>
    <w:p w14:paraId="588F1A96" w14:textId="77777777" w:rsidR="001167B2" w:rsidRPr="00544FA4" w:rsidRDefault="001167B2" w:rsidP="001167B2">
      <w:pPr>
        <w:pStyle w:val="Lijstalinea"/>
        <w:numPr>
          <w:ilvl w:val="0"/>
          <w:numId w:val="3"/>
        </w:numPr>
        <w:jc w:val="both"/>
        <w:rPr>
          <w:rFonts w:cstheme="minorHAnsi"/>
          <w:sz w:val="20"/>
          <w:szCs w:val="20"/>
        </w:rPr>
      </w:pPr>
      <w:r w:rsidRPr="00544FA4">
        <w:rPr>
          <w:rFonts w:cstheme="minorHAnsi"/>
          <w:i/>
          <w:iCs/>
          <w:sz w:val="20"/>
        </w:rPr>
        <w:t>(Enkel indien u actief bent in 4</w:t>
      </w:r>
      <w:r w:rsidRPr="00544FA4">
        <w:rPr>
          <w:rFonts w:cstheme="minorHAnsi"/>
          <w:i/>
          <w:iCs/>
          <w:sz w:val="20"/>
          <w:vertAlign w:val="superscript"/>
        </w:rPr>
        <w:t>de</w:t>
      </w:r>
      <w:r w:rsidRPr="00544FA4">
        <w:rPr>
          <w:rFonts w:cstheme="minorHAnsi"/>
          <w:i/>
          <w:iCs/>
          <w:sz w:val="20"/>
        </w:rPr>
        <w:t xml:space="preserve"> pijler - verzekeringen met een beleggingscomponent) </w:t>
      </w:r>
      <w:r w:rsidRPr="00544FA4">
        <w:rPr>
          <w:rFonts w:cstheme="minorHAnsi"/>
          <w:sz w:val="20"/>
        </w:rPr>
        <w:t>De commerciële doelstelling zet niet aan tot het nemen van buitensporige risico’s in verband met duurzaamheidsrisico’s.</w:t>
      </w:r>
    </w:p>
    <w:p w14:paraId="5AD270FD" w14:textId="64082C82" w:rsidR="006A1A2F" w:rsidRPr="00DD1C90" w:rsidRDefault="001167B2" w:rsidP="00DD1C90">
      <w:pPr>
        <w:pStyle w:val="Lijstalinea"/>
        <w:numPr>
          <w:ilvl w:val="0"/>
          <w:numId w:val="3"/>
        </w:numPr>
        <w:jc w:val="both"/>
        <w:rPr>
          <w:rFonts w:cstheme="minorHAnsi"/>
          <w:sz w:val="20"/>
          <w:szCs w:val="20"/>
        </w:rPr>
      </w:pPr>
      <w:r w:rsidRPr="007461BC">
        <w:rPr>
          <w:rFonts w:cstheme="minorHAnsi"/>
          <w:i/>
          <w:sz w:val="20"/>
          <w:szCs w:val="20"/>
        </w:rPr>
        <w:t>(Eventueel: De te behalen commerciële doelstelling is het resultaat van de gezamenlijke inspanning en niet verbonden aan een individuele prestatie).</w:t>
      </w:r>
    </w:p>
    <w:sectPr w:rsidR="006A1A2F" w:rsidRPr="00DD1C90" w:rsidSect="00A136AA">
      <w:headerReference w:type="default" r:id="rId7"/>
      <w:footerReference w:type="even" r:id="rId8"/>
      <w:footerReference w:type="default" r:id="rId9"/>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92804E" w14:textId="77777777" w:rsidR="006B308C" w:rsidRDefault="006B308C">
      <w:pPr>
        <w:spacing w:after="0" w:line="240" w:lineRule="auto"/>
      </w:pPr>
      <w:r>
        <w:separator/>
      </w:r>
    </w:p>
  </w:endnote>
  <w:endnote w:type="continuationSeparator" w:id="0">
    <w:p w14:paraId="5F19B9D6" w14:textId="77777777" w:rsidR="006B308C" w:rsidRDefault="006B30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inanummer"/>
      </w:rPr>
      <w:id w:val="1587957650"/>
      <w:docPartObj>
        <w:docPartGallery w:val="Page Numbers (Bottom of Page)"/>
        <w:docPartUnique/>
      </w:docPartObj>
    </w:sdtPr>
    <w:sdtEndPr>
      <w:rPr>
        <w:rStyle w:val="Paginanummer"/>
      </w:rPr>
    </w:sdtEndPr>
    <w:sdtContent>
      <w:p w14:paraId="3A291856" w14:textId="77777777" w:rsidR="007461BC" w:rsidRDefault="001167B2" w:rsidP="00042575">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14:paraId="55976917" w14:textId="77777777" w:rsidR="007461BC" w:rsidRDefault="00544FA4" w:rsidP="007461BC">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inanummer"/>
        <w:sz w:val="18"/>
        <w:szCs w:val="18"/>
      </w:rPr>
      <w:id w:val="-162015988"/>
      <w:docPartObj>
        <w:docPartGallery w:val="Page Numbers (Bottom of Page)"/>
        <w:docPartUnique/>
      </w:docPartObj>
    </w:sdtPr>
    <w:sdtEndPr>
      <w:rPr>
        <w:rStyle w:val="Paginanummer"/>
      </w:rPr>
    </w:sdtEndPr>
    <w:sdtContent>
      <w:p w14:paraId="32D8CCDB" w14:textId="77777777" w:rsidR="007461BC" w:rsidRPr="00544FA4" w:rsidRDefault="001167B2" w:rsidP="00042575">
        <w:pPr>
          <w:pStyle w:val="Voettekst"/>
          <w:framePr w:wrap="none" w:vAnchor="text" w:hAnchor="margin" w:xAlign="right" w:y="1"/>
          <w:rPr>
            <w:rStyle w:val="Paginanummer"/>
            <w:sz w:val="18"/>
            <w:szCs w:val="18"/>
            <w:lang w:val="de-LU"/>
          </w:rPr>
        </w:pPr>
        <w:r w:rsidRPr="007461BC">
          <w:rPr>
            <w:rStyle w:val="Paginanummer"/>
            <w:sz w:val="18"/>
            <w:szCs w:val="18"/>
          </w:rPr>
          <w:fldChar w:fldCharType="begin"/>
        </w:r>
        <w:r w:rsidRPr="00544FA4">
          <w:rPr>
            <w:rStyle w:val="Paginanummer"/>
            <w:sz w:val="18"/>
            <w:szCs w:val="18"/>
            <w:lang w:val="de-LU"/>
          </w:rPr>
          <w:instrText xml:space="preserve"> PAGE </w:instrText>
        </w:r>
        <w:r w:rsidRPr="007461BC">
          <w:rPr>
            <w:rStyle w:val="Paginanummer"/>
            <w:sz w:val="18"/>
            <w:szCs w:val="18"/>
          </w:rPr>
          <w:fldChar w:fldCharType="separate"/>
        </w:r>
        <w:r w:rsidRPr="00544FA4">
          <w:rPr>
            <w:rStyle w:val="Paginanummer"/>
            <w:noProof/>
            <w:sz w:val="18"/>
            <w:szCs w:val="18"/>
            <w:lang w:val="de-LU"/>
          </w:rPr>
          <w:t>1</w:t>
        </w:r>
        <w:r w:rsidRPr="007461BC">
          <w:rPr>
            <w:rStyle w:val="Paginanummer"/>
            <w:sz w:val="18"/>
            <w:szCs w:val="18"/>
          </w:rPr>
          <w:fldChar w:fldCharType="end"/>
        </w:r>
      </w:p>
    </w:sdtContent>
  </w:sdt>
  <w:p w14:paraId="6CD2F43A" w14:textId="77777777" w:rsidR="00DD1C90" w:rsidRPr="002050A9" w:rsidRDefault="00DD1C90" w:rsidP="00DD1C90">
    <w:pPr>
      <w:pStyle w:val="Voettekst"/>
      <w:jc w:val="center"/>
      <w:rPr>
        <w:rFonts w:asciiTheme="majorHAnsi" w:hAnsiTheme="majorHAnsi" w:cstheme="majorHAnsi"/>
        <w:sz w:val="20"/>
        <w:szCs w:val="20"/>
        <w:lang w:val="de-LU"/>
      </w:rPr>
    </w:pPr>
    <w:r w:rsidRPr="002050A9">
      <w:rPr>
        <w:rFonts w:asciiTheme="majorHAnsi" w:hAnsiTheme="majorHAnsi" w:cstheme="majorHAnsi"/>
        <w:sz w:val="20"/>
        <w:szCs w:val="20"/>
        <w:lang w:val="de-LU"/>
      </w:rPr>
      <w:t>-------------------------------------------------</w:t>
    </w:r>
  </w:p>
  <w:p w14:paraId="73F04CE1" w14:textId="77777777" w:rsidR="00DD1C90" w:rsidRPr="002050A9" w:rsidRDefault="00DD1C90" w:rsidP="00DD1C90">
    <w:pPr>
      <w:pStyle w:val="Voettekst"/>
      <w:jc w:val="center"/>
      <w:rPr>
        <w:rFonts w:asciiTheme="majorHAnsi" w:hAnsiTheme="majorHAnsi" w:cstheme="majorHAnsi"/>
        <w:sz w:val="20"/>
        <w:szCs w:val="20"/>
        <w:lang w:val="de-LU"/>
      </w:rPr>
    </w:pPr>
    <w:proofErr w:type="spellStart"/>
    <w:r w:rsidRPr="002050A9">
      <w:rPr>
        <w:rFonts w:asciiTheme="majorHAnsi" w:hAnsiTheme="majorHAnsi" w:cstheme="majorHAnsi"/>
        <w:sz w:val="20"/>
        <w:szCs w:val="20"/>
        <w:lang w:val="de-LU"/>
      </w:rPr>
      <w:t>Autolei</w:t>
    </w:r>
    <w:proofErr w:type="spellEnd"/>
    <w:r w:rsidRPr="002050A9">
      <w:rPr>
        <w:rFonts w:asciiTheme="majorHAnsi" w:hAnsiTheme="majorHAnsi" w:cstheme="majorHAnsi"/>
        <w:sz w:val="20"/>
        <w:szCs w:val="20"/>
        <w:lang w:val="de-LU"/>
      </w:rPr>
      <w:t xml:space="preserve"> 250, 2160 Wommelgem</w:t>
    </w:r>
  </w:p>
  <w:p w14:paraId="64C23EA9" w14:textId="77777777" w:rsidR="00DD1C90" w:rsidRPr="002050A9" w:rsidRDefault="00DD1C90" w:rsidP="00DD1C90">
    <w:pPr>
      <w:pStyle w:val="Voettekst"/>
      <w:jc w:val="center"/>
      <w:rPr>
        <w:rFonts w:asciiTheme="majorHAnsi" w:hAnsiTheme="majorHAnsi" w:cstheme="majorHAnsi"/>
        <w:sz w:val="20"/>
        <w:szCs w:val="20"/>
        <w:lang w:val="de-LU"/>
      </w:rPr>
    </w:pPr>
    <w:r w:rsidRPr="002050A9">
      <w:rPr>
        <w:rFonts w:asciiTheme="majorHAnsi" w:hAnsiTheme="majorHAnsi" w:cstheme="majorHAnsi"/>
        <w:b/>
        <w:sz w:val="20"/>
        <w:szCs w:val="20"/>
        <w:lang w:val="de-LU"/>
      </w:rPr>
      <w:t xml:space="preserve">m </w:t>
    </w:r>
    <w:hyperlink r:id="rId1" w:history="1">
      <w:r w:rsidRPr="002050A9">
        <w:rPr>
          <w:rStyle w:val="Hyperlink"/>
          <w:rFonts w:cstheme="majorHAnsi"/>
          <w:sz w:val="20"/>
          <w:szCs w:val="20"/>
          <w:lang w:val="de-LU"/>
        </w:rPr>
        <w:t>info@fvf.be</w:t>
      </w:r>
    </w:hyperlink>
    <w:r w:rsidRPr="002050A9">
      <w:rPr>
        <w:rFonts w:asciiTheme="majorHAnsi" w:hAnsiTheme="majorHAnsi" w:cstheme="majorHAnsi"/>
        <w:sz w:val="20"/>
        <w:szCs w:val="20"/>
        <w:lang w:val="de-LU"/>
      </w:rPr>
      <w:t xml:space="preserve"> – </w:t>
    </w:r>
    <w:r w:rsidRPr="002050A9">
      <w:rPr>
        <w:rFonts w:asciiTheme="majorHAnsi" w:hAnsiTheme="majorHAnsi" w:cstheme="majorHAnsi"/>
        <w:b/>
        <w:sz w:val="20"/>
        <w:szCs w:val="20"/>
        <w:lang w:val="de-LU"/>
      </w:rPr>
      <w:t xml:space="preserve">t </w:t>
    </w:r>
    <w:r w:rsidRPr="002050A9">
      <w:rPr>
        <w:rFonts w:asciiTheme="majorHAnsi" w:hAnsiTheme="majorHAnsi" w:cstheme="majorHAnsi"/>
        <w:sz w:val="20"/>
        <w:szCs w:val="20"/>
        <w:lang w:val="de-LU"/>
      </w:rPr>
      <w:t>03 244 12 80</w:t>
    </w:r>
  </w:p>
  <w:p w14:paraId="4237CC91" w14:textId="4A3E30DC" w:rsidR="005111E0" w:rsidRPr="00DD1C90" w:rsidRDefault="00DD1C90" w:rsidP="00DD1C90">
    <w:pPr>
      <w:pStyle w:val="Voettekst"/>
      <w:jc w:val="center"/>
      <w:rPr>
        <w:rFonts w:asciiTheme="majorHAnsi" w:hAnsiTheme="majorHAnsi" w:cstheme="majorHAnsi"/>
        <w:sz w:val="20"/>
        <w:szCs w:val="20"/>
        <w:lang w:val="fr-FR"/>
      </w:rPr>
    </w:pPr>
    <w:r w:rsidRPr="00EF47A5">
      <w:rPr>
        <w:rFonts w:asciiTheme="majorHAnsi" w:hAnsiTheme="majorHAnsi" w:cstheme="majorHAnsi"/>
        <w:sz w:val="20"/>
        <w:szCs w:val="20"/>
        <w:lang w:val="fr-FR"/>
      </w:rPr>
      <w:t>BTW BE 0408.383.064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26F2A9" w14:textId="77777777" w:rsidR="006B308C" w:rsidRDefault="006B308C">
      <w:pPr>
        <w:spacing w:after="0" w:line="240" w:lineRule="auto"/>
      </w:pPr>
      <w:r>
        <w:separator/>
      </w:r>
    </w:p>
  </w:footnote>
  <w:footnote w:type="continuationSeparator" w:id="0">
    <w:p w14:paraId="2A5C72F3" w14:textId="77777777" w:rsidR="006B308C" w:rsidRDefault="006B30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A6A4F7" w14:textId="77777777" w:rsidR="003F64C1" w:rsidRDefault="003F64C1" w:rsidP="003F64C1">
    <w:pPr>
      <w:pStyle w:val="Koptekst"/>
      <w:jc w:val="center"/>
      <w:rPr>
        <w:lang w:val="en-US"/>
      </w:rPr>
    </w:pPr>
    <w:r>
      <w:rPr>
        <w:noProof/>
        <w:lang w:eastAsia="nl-BE"/>
      </w:rPr>
      <w:drawing>
        <wp:inline distT="0" distB="0" distL="0" distR="0" wp14:anchorId="31ED9740" wp14:editId="02D03A69">
          <wp:extent cx="1166948" cy="1239882"/>
          <wp:effectExtent l="0" t="0" r="1905" b="5080"/>
          <wp:docPr id="3" name="Afbeelding 3"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FVF - contouren.jpg"/>
                  <pic:cNvPicPr/>
                </pic:nvPicPr>
                <pic:blipFill>
                  <a:blip r:embed="rId1">
                    <a:extLst>
                      <a:ext uri="{28A0092B-C50C-407E-A947-70E740481C1C}">
                        <a14:useLocalDpi xmlns:a14="http://schemas.microsoft.com/office/drawing/2010/main" val="0"/>
                      </a:ext>
                    </a:extLst>
                  </a:blip>
                  <a:stretch>
                    <a:fillRect/>
                  </a:stretch>
                </pic:blipFill>
                <pic:spPr>
                  <a:xfrm>
                    <a:off x="0" y="0"/>
                    <a:ext cx="1173568" cy="1246915"/>
                  </a:xfrm>
                  <a:prstGeom prst="rect">
                    <a:avLst/>
                  </a:prstGeom>
                </pic:spPr>
              </pic:pic>
            </a:graphicData>
          </a:graphic>
        </wp:inline>
      </w:drawing>
    </w:r>
  </w:p>
  <w:p w14:paraId="7B1363EE" w14:textId="77777777" w:rsidR="003F64C1" w:rsidRPr="00BA48D1" w:rsidRDefault="003F64C1" w:rsidP="003F64C1">
    <w:pPr>
      <w:pStyle w:val="Koptekst"/>
      <w:jc w:val="center"/>
      <w:rPr>
        <w:lang w:val="en-US"/>
      </w:rPr>
    </w:pPr>
  </w:p>
  <w:p w14:paraId="4B9B098A" w14:textId="77777777" w:rsidR="005111E0" w:rsidRDefault="00544FA4">
    <w:pPr>
      <w:pStyle w:val="Koptekst"/>
    </w:pPr>
  </w:p>
  <w:p w14:paraId="15C9D48B" w14:textId="77777777" w:rsidR="005111E0" w:rsidRDefault="00544FA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2E56EF"/>
    <w:multiLevelType w:val="hybridMultilevel"/>
    <w:tmpl w:val="98A8C926"/>
    <w:lvl w:ilvl="0" w:tplc="08130001">
      <w:start w:val="1"/>
      <w:numFmt w:val="bullet"/>
      <w:lvlText w:val=""/>
      <w:lvlJc w:val="left"/>
      <w:pPr>
        <w:ind w:left="1146" w:hanging="360"/>
      </w:pPr>
      <w:rPr>
        <w:rFonts w:ascii="Symbol" w:hAnsi="Symbol" w:hint="default"/>
      </w:rPr>
    </w:lvl>
    <w:lvl w:ilvl="1" w:tplc="08130003" w:tentative="1">
      <w:start w:val="1"/>
      <w:numFmt w:val="bullet"/>
      <w:lvlText w:val="o"/>
      <w:lvlJc w:val="left"/>
      <w:pPr>
        <w:ind w:left="2640" w:hanging="360"/>
      </w:pPr>
      <w:rPr>
        <w:rFonts w:ascii="Courier New" w:hAnsi="Courier New" w:cs="Courier New" w:hint="default"/>
      </w:rPr>
    </w:lvl>
    <w:lvl w:ilvl="2" w:tplc="08130005" w:tentative="1">
      <w:start w:val="1"/>
      <w:numFmt w:val="bullet"/>
      <w:lvlText w:val=""/>
      <w:lvlJc w:val="left"/>
      <w:pPr>
        <w:ind w:left="3360" w:hanging="360"/>
      </w:pPr>
      <w:rPr>
        <w:rFonts w:ascii="Wingdings" w:hAnsi="Wingdings" w:hint="default"/>
      </w:rPr>
    </w:lvl>
    <w:lvl w:ilvl="3" w:tplc="08130001" w:tentative="1">
      <w:start w:val="1"/>
      <w:numFmt w:val="bullet"/>
      <w:lvlText w:val=""/>
      <w:lvlJc w:val="left"/>
      <w:pPr>
        <w:ind w:left="4080" w:hanging="360"/>
      </w:pPr>
      <w:rPr>
        <w:rFonts w:ascii="Symbol" w:hAnsi="Symbol" w:hint="default"/>
      </w:rPr>
    </w:lvl>
    <w:lvl w:ilvl="4" w:tplc="08130003" w:tentative="1">
      <w:start w:val="1"/>
      <w:numFmt w:val="bullet"/>
      <w:lvlText w:val="o"/>
      <w:lvlJc w:val="left"/>
      <w:pPr>
        <w:ind w:left="4800" w:hanging="360"/>
      </w:pPr>
      <w:rPr>
        <w:rFonts w:ascii="Courier New" w:hAnsi="Courier New" w:cs="Courier New" w:hint="default"/>
      </w:rPr>
    </w:lvl>
    <w:lvl w:ilvl="5" w:tplc="08130005" w:tentative="1">
      <w:start w:val="1"/>
      <w:numFmt w:val="bullet"/>
      <w:lvlText w:val=""/>
      <w:lvlJc w:val="left"/>
      <w:pPr>
        <w:ind w:left="5520" w:hanging="360"/>
      </w:pPr>
      <w:rPr>
        <w:rFonts w:ascii="Wingdings" w:hAnsi="Wingdings" w:hint="default"/>
      </w:rPr>
    </w:lvl>
    <w:lvl w:ilvl="6" w:tplc="08130001" w:tentative="1">
      <w:start w:val="1"/>
      <w:numFmt w:val="bullet"/>
      <w:lvlText w:val=""/>
      <w:lvlJc w:val="left"/>
      <w:pPr>
        <w:ind w:left="6240" w:hanging="360"/>
      </w:pPr>
      <w:rPr>
        <w:rFonts w:ascii="Symbol" w:hAnsi="Symbol" w:hint="default"/>
      </w:rPr>
    </w:lvl>
    <w:lvl w:ilvl="7" w:tplc="08130003" w:tentative="1">
      <w:start w:val="1"/>
      <w:numFmt w:val="bullet"/>
      <w:lvlText w:val="o"/>
      <w:lvlJc w:val="left"/>
      <w:pPr>
        <w:ind w:left="6960" w:hanging="360"/>
      </w:pPr>
      <w:rPr>
        <w:rFonts w:ascii="Courier New" w:hAnsi="Courier New" w:cs="Courier New" w:hint="default"/>
      </w:rPr>
    </w:lvl>
    <w:lvl w:ilvl="8" w:tplc="08130005" w:tentative="1">
      <w:start w:val="1"/>
      <w:numFmt w:val="bullet"/>
      <w:lvlText w:val=""/>
      <w:lvlJc w:val="left"/>
      <w:pPr>
        <w:ind w:left="7680" w:hanging="360"/>
      </w:pPr>
      <w:rPr>
        <w:rFonts w:ascii="Wingdings" w:hAnsi="Wingdings" w:hint="default"/>
      </w:rPr>
    </w:lvl>
  </w:abstractNum>
  <w:abstractNum w:abstractNumId="1" w15:restartNumberingAfterBreak="0">
    <w:nsid w:val="47E96E95"/>
    <w:multiLevelType w:val="hybridMultilevel"/>
    <w:tmpl w:val="18B894E2"/>
    <w:lvl w:ilvl="0" w:tplc="08130001">
      <w:start w:val="1"/>
      <w:numFmt w:val="bullet"/>
      <w:lvlText w:val=""/>
      <w:lvlJc w:val="left"/>
      <w:pPr>
        <w:ind w:left="2280" w:hanging="360"/>
      </w:pPr>
      <w:rPr>
        <w:rFonts w:ascii="Symbol" w:hAnsi="Symbol" w:hint="default"/>
      </w:rPr>
    </w:lvl>
    <w:lvl w:ilvl="1" w:tplc="04130003" w:tentative="1">
      <w:start w:val="1"/>
      <w:numFmt w:val="bullet"/>
      <w:lvlText w:val="o"/>
      <w:lvlJc w:val="left"/>
      <w:pPr>
        <w:ind w:left="3000" w:hanging="360"/>
      </w:pPr>
      <w:rPr>
        <w:rFonts w:ascii="Courier New" w:hAnsi="Courier New" w:cs="Courier New" w:hint="default"/>
      </w:rPr>
    </w:lvl>
    <w:lvl w:ilvl="2" w:tplc="04130005" w:tentative="1">
      <w:start w:val="1"/>
      <w:numFmt w:val="bullet"/>
      <w:lvlText w:val=""/>
      <w:lvlJc w:val="left"/>
      <w:pPr>
        <w:ind w:left="3720" w:hanging="360"/>
      </w:pPr>
      <w:rPr>
        <w:rFonts w:ascii="Wingdings" w:hAnsi="Wingdings" w:hint="default"/>
      </w:rPr>
    </w:lvl>
    <w:lvl w:ilvl="3" w:tplc="04130001" w:tentative="1">
      <w:start w:val="1"/>
      <w:numFmt w:val="bullet"/>
      <w:lvlText w:val=""/>
      <w:lvlJc w:val="left"/>
      <w:pPr>
        <w:ind w:left="4440" w:hanging="360"/>
      </w:pPr>
      <w:rPr>
        <w:rFonts w:ascii="Symbol" w:hAnsi="Symbol" w:hint="default"/>
      </w:rPr>
    </w:lvl>
    <w:lvl w:ilvl="4" w:tplc="04130003" w:tentative="1">
      <w:start w:val="1"/>
      <w:numFmt w:val="bullet"/>
      <w:lvlText w:val="o"/>
      <w:lvlJc w:val="left"/>
      <w:pPr>
        <w:ind w:left="5160" w:hanging="360"/>
      </w:pPr>
      <w:rPr>
        <w:rFonts w:ascii="Courier New" w:hAnsi="Courier New" w:cs="Courier New" w:hint="default"/>
      </w:rPr>
    </w:lvl>
    <w:lvl w:ilvl="5" w:tplc="04130005" w:tentative="1">
      <w:start w:val="1"/>
      <w:numFmt w:val="bullet"/>
      <w:lvlText w:val=""/>
      <w:lvlJc w:val="left"/>
      <w:pPr>
        <w:ind w:left="5880" w:hanging="360"/>
      </w:pPr>
      <w:rPr>
        <w:rFonts w:ascii="Wingdings" w:hAnsi="Wingdings" w:hint="default"/>
      </w:rPr>
    </w:lvl>
    <w:lvl w:ilvl="6" w:tplc="04130001" w:tentative="1">
      <w:start w:val="1"/>
      <w:numFmt w:val="bullet"/>
      <w:lvlText w:val=""/>
      <w:lvlJc w:val="left"/>
      <w:pPr>
        <w:ind w:left="6600" w:hanging="360"/>
      </w:pPr>
      <w:rPr>
        <w:rFonts w:ascii="Symbol" w:hAnsi="Symbol" w:hint="default"/>
      </w:rPr>
    </w:lvl>
    <w:lvl w:ilvl="7" w:tplc="04130003" w:tentative="1">
      <w:start w:val="1"/>
      <w:numFmt w:val="bullet"/>
      <w:lvlText w:val="o"/>
      <w:lvlJc w:val="left"/>
      <w:pPr>
        <w:ind w:left="7320" w:hanging="360"/>
      </w:pPr>
      <w:rPr>
        <w:rFonts w:ascii="Courier New" w:hAnsi="Courier New" w:cs="Courier New" w:hint="default"/>
      </w:rPr>
    </w:lvl>
    <w:lvl w:ilvl="8" w:tplc="04130005" w:tentative="1">
      <w:start w:val="1"/>
      <w:numFmt w:val="bullet"/>
      <w:lvlText w:val=""/>
      <w:lvlJc w:val="left"/>
      <w:pPr>
        <w:ind w:left="8040" w:hanging="360"/>
      </w:pPr>
      <w:rPr>
        <w:rFonts w:ascii="Wingdings" w:hAnsi="Wingdings" w:hint="default"/>
      </w:rPr>
    </w:lvl>
  </w:abstractNum>
  <w:abstractNum w:abstractNumId="2" w15:restartNumberingAfterBreak="0">
    <w:nsid w:val="7F5A686F"/>
    <w:multiLevelType w:val="hybridMultilevel"/>
    <w:tmpl w:val="528AE84C"/>
    <w:lvl w:ilvl="0" w:tplc="08130001">
      <w:start w:val="1"/>
      <w:numFmt w:val="bullet"/>
      <w:lvlText w:val=""/>
      <w:lvlJc w:val="left"/>
      <w:pPr>
        <w:ind w:left="1146" w:hanging="360"/>
      </w:pPr>
      <w:rPr>
        <w:rFonts w:ascii="Symbol" w:hAnsi="Symbol" w:hint="default"/>
      </w:rPr>
    </w:lvl>
    <w:lvl w:ilvl="1" w:tplc="08130003" w:tentative="1">
      <w:start w:val="1"/>
      <w:numFmt w:val="bullet"/>
      <w:lvlText w:val="o"/>
      <w:lvlJc w:val="left"/>
      <w:pPr>
        <w:ind w:left="1506" w:hanging="360"/>
      </w:pPr>
      <w:rPr>
        <w:rFonts w:ascii="Courier New" w:hAnsi="Courier New" w:cs="Courier New" w:hint="default"/>
      </w:rPr>
    </w:lvl>
    <w:lvl w:ilvl="2" w:tplc="08130005" w:tentative="1">
      <w:start w:val="1"/>
      <w:numFmt w:val="bullet"/>
      <w:lvlText w:val=""/>
      <w:lvlJc w:val="left"/>
      <w:pPr>
        <w:ind w:left="2226" w:hanging="360"/>
      </w:pPr>
      <w:rPr>
        <w:rFonts w:ascii="Wingdings" w:hAnsi="Wingdings" w:hint="default"/>
      </w:rPr>
    </w:lvl>
    <w:lvl w:ilvl="3" w:tplc="08130001" w:tentative="1">
      <w:start w:val="1"/>
      <w:numFmt w:val="bullet"/>
      <w:lvlText w:val=""/>
      <w:lvlJc w:val="left"/>
      <w:pPr>
        <w:ind w:left="2946" w:hanging="360"/>
      </w:pPr>
      <w:rPr>
        <w:rFonts w:ascii="Symbol" w:hAnsi="Symbol" w:hint="default"/>
      </w:rPr>
    </w:lvl>
    <w:lvl w:ilvl="4" w:tplc="08130003" w:tentative="1">
      <w:start w:val="1"/>
      <w:numFmt w:val="bullet"/>
      <w:lvlText w:val="o"/>
      <w:lvlJc w:val="left"/>
      <w:pPr>
        <w:ind w:left="3666" w:hanging="360"/>
      </w:pPr>
      <w:rPr>
        <w:rFonts w:ascii="Courier New" w:hAnsi="Courier New" w:cs="Courier New" w:hint="default"/>
      </w:rPr>
    </w:lvl>
    <w:lvl w:ilvl="5" w:tplc="08130005" w:tentative="1">
      <w:start w:val="1"/>
      <w:numFmt w:val="bullet"/>
      <w:lvlText w:val=""/>
      <w:lvlJc w:val="left"/>
      <w:pPr>
        <w:ind w:left="4386" w:hanging="360"/>
      </w:pPr>
      <w:rPr>
        <w:rFonts w:ascii="Wingdings" w:hAnsi="Wingdings" w:hint="default"/>
      </w:rPr>
    </w:lvl>
    <w:lvl w:ilvl="6" w:tplc="08130001" w:tentative="1">
      <w:start w:val="1"/>
      <w:numFmt w:val="bullet"/>
      <w:lvlText w:val=""/>
      <w:lvlJc w:val="left"/>
      <w:pPr>
        <w:ind w:left="5106" w:hanging="360"/>
      </w:pPr>
      <w:rPr>
        <w:rFonts w:ascii="Symbol" w:hAnsi="Symbol" w:hint="default"/>
      </w:rPr>
    </w:lvl>
    <w:lvl w:ilvl="7" w:tplc="08130003" w:tentative="1">
      <w:start w:val="1"/>
      <w:numFmt w:val="bullet"/>
      <w:lvlText w:val="o"/>
      <w:lvlJc w:val="left"/>
      <w:pPr>
        <w:ind w:left="5826" w:hanging="360"/>
      </w:pPr>
      <w:rPr>
        <w:rFonts w:ascii="Courier New" w:hAnsi="Courier New" w:cs="Courier New" w:hint="default"/>
      </w:rPr>
    </w:lvl>
    <w:lvl w:ilvl="8" w:tplc="08130005" w:tentative="1">
      <w:start w:val="1"/>
      <w:numFmt w:val="bullet"/>
      <w:lvlText w:val=""/>
      <w:lvlJc w:val="left"/>
      <w:pPr>
        <w:ind w:left="6546"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7B2"/>
    <w:rsid w:val="001167B2"/>
    <w:rsid w:val="003046B5"/>
    <w:rsid w:val="003F64C1"/>
    <w:rsid w:val="00544FA4"/>
    <w:rsid w:val="006A1A2F"/>
    <w:rsid w:val="006B308C"/>
    <w:rsid w:val="0096441D"/>
    <w:rsid w:val="00A63002"/>
    <w:rsid w:val="00BE0750"/>
    <w:rsid w:val="00DD1C90"/>
    <w:rsid w:val="00F2798A"/>
  </w:rsids>
  <m:mathPr>
    <m:mathFont m:val="Cambria Math"/>
    <m:brkBin m:val="before"/>
    <m:brkBinSub m:val="--"/>
    <m:smallFrac m:val="0"/>
    <m:dispDef/>
    <m:lMargin m:val="0"/>
    <m:rMargin m:val="0"/>
    <m:defJc m:val="centerGroup"/>
    <m:wrapIndent m:val="1440"/>
    <m:intLim m:val="subSup"/>
    <m:naryLim m:val="undOvr"/>
  </m:mathPr>
  <w:themeFontLang w:val="nl-B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2E737"/>
  <w15:chartTrackingRefBased/>
  <w15:docId w15:val="{DD0386B1-A55F-40D2-B99B-52308CCB7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167B2"/>
    <w:pPr>
      <w:spacing w:after="200" w:line="276" w:lineRule="auto"/>
    </w:pPr>
  </w:style>
  <w:style w:type="paragraph" w:styleId="Kop1">
    <w:name w:val="heading 1"/>
    <w:basedOn w:val="Standaard"/>
    <w:next w:val="Standaard"/>
    <w:link w:val="Kop1Char"/>
    <w:uiPriority w:val="9"/>
    <w:qFormat/>
    <w:rsid w:val="001167B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167B2"/>
    <w:rPr>
      <w:rFonts w:asciiTheme="majorHAnsi" w:eastAsiaTheme="majorEastAsia" w:hAnsiTheme="majorHAnsi" w:cstheme="majorBidi"/>
      <w:color w:val="2F5496" w:themeColor="accent1" w:themeShade="BF"/>
      <w:sz w:val="32"/>
      <w:szCs w:val="32"/>
    </w:rPr>
  </w:style>
  <w:style w:type="table" w:styleId="Tabelraster">
    <w:name w:val="Table Grid"/>
    <w:basedOn w:val="Standaardtabel"/>
    <w:uiPriority w:val="59"/>
    <w:rsid w:val="001167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1167B2"/>
    <w:pPr>
      <w:ind w:left="720"/>
      <w:contextualSpacing/>
    </w:pPr>
  </w:style>
  <w:style w:type="paragraph" w:styleId="Koptekst">
    <w:name w:val="header"/>
    <w:basedOn w:val="Standaard"/>
    <w:link w:val="KoptekstChar"/>
    <w:uiPriority w:val="99"/>
    <w:unhideWhenUsed/>
    <w:rsid w:val="001167B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167B2"/>
  </w:style>
  <w:style w:type="paragraph" w:styleId="Voettekst">
    <w:name w:val="footer"/>
    <w:basedOn w:val="Standaard"/>
    <w:link w:val="VoettekstChar"/>
    <w:uiPriority w:val="99"/>
    <w:unhideWhenUsed/>
    <w:rsid w:val="001167B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167B2"/>
  </w:style>
  <w:style w:type="paragraph" w:styleId="Titel">
    <w:name w:val="Title"/>
    <w:basedOn w:val="Standaard"/>
    <w:next w:val="Standaard"/>
    <w:link w:val="TitelChar"/>
    <w:uiPriority w:val="10"/>
    <w:qFormat/>
    <w:rsid w:val="001167B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167B2"/>
    <w:rPr>
      <w:rFonts w:asciiTheme="majorHAnsi" w:eastAsiaTheme="majorEastAsia" w:hAnsiTheme="majorHAnsi" w:cstheme="majorBidi"/>
      <w:spacing w:val="-10"/>
      <w:kern w:val="28"/>
      <w:sz w:val="56"/>
      <w:szCs w:val="56"/>
    </w:rPr>
  </w:style>
  <w:style w:type="character" w:styleId="Paginanummer">
    <w:name w:val="page number"/>
    <w:basedOn w:val="Standaardalinea-lettertype"/>
    <w:uiPriority w:val="99"/>
    <w:semiHidden/>
    <w:unhideWhenUsed/>
    <w:rsid w:val="001167B2"/>
  </w:style>
  <w:style w:type="character" w:styleId="Hyperlink">
    <w:name w:val="Hyperlink"/>
    <w:basedOn w:val="Standaardalinea-lettertype"/>
    <w:uiPriority w:val="99"/>
    <w:unhideWhenUsed/>
    <w:rsid w:val="00DD1C9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customXml" Target="../customXml/item3.xml"/></Relationships>
</file>

<file path=word/_rels/footer2.xml.rels><?xml version="1.0" encoding="UTF-8" standalone="yes"?>
<Relationships xmlns="http://schemas.openxmlformats.org/package/2006/relationships"><Relationship Id="rId1" Type="http://schemas.openxmlformats.org/officeDocument/2006/relationships/hyperlink" Target="mailto:info@fvf.b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DE16207A94924095AFEBF7D68E7186" ma:contentTypeVersion="20" ma:contentTypeDescription="Create a new document." ma:contentTypeScope="" ma:versionID="46a1a21e0d592b4bb25033d687aab5b1">
  <xsd:schema xmlns:xsd="http://www.w3.org/2001/XMLSchema" xmlns:xs="http://www.w3.org/2001/XMLSchema" xmlns:p="http://schemas.microsoft.com/office/2006/metadata/properties" xmlns:ns2="8dd0c21f-0481-445b-be5a-800ebc43b53c" xmlns:ns3="abb2b97a-8162-4649-9ed5-a69c7f07c0d0" targetNamespace="http://schemas.microsoft.com/office/2006/metadata/properties" ma:root="true" ma:fieldsID="903a5f1f11bf9ff9a3105a99969701ad" ns2:_="" ns3:_="">
    <xsd:import namespace="8dd0c21f-0481-445b-be5a-800ebc43b53c"/>
    <xsd:import namespace="abb2b97a-8162-4649-9ed5-a69c7f07c0d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2:TaxCatchAll"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d0c21f-0481-445b-be5a-800ebc43b53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5f517c2-eaac-4bfa-9410-9f88c3660cb2}" ma:internalName="TaxCatchAll" ma:showField="CatchAllData" ma:web="8dd0c21f-0481-445b-be5a-800ebc43b53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bb2b97a-8162-4649-9ed5-a69c7f07c0d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70bf4db-61c7-402d-8015-95681e4d52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dd0c21f-0481-445b-be5a-800ebc43b53c" xsi:nil="true"/>
    <lcf76f155ced4ddcb4097134ff3c332f xmlns="abb2b97a-8162-4649-9ed5-a69c7f07c0d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FBD6715-22B2-487E-A0FD-DCA1B840202C}"/>
</file>

<file path=customXml/itemProps2.xml><?xml version="1.0" encoding="utf-8"?>
<ds:datastoreItem xmlns:ds="http://schemas.openxmlformats.org/officeDocument/2006/customXml" ds:itemID="{07EB79BF-A26D-49C6-93CD-865C6F239583}"/>
</file>

<file path=customXml/itemProps3.xml><?xml version="1.0" encoding="utf-8"?>
<ds:datastoreItem xmlns:ds="http://schemas.openxmlformats.org/officeDocument/2006/customXml" ds:itemID="{88546F5A-A40A-4631-B579-714A0DCA10F9}"/>
</file>

<file path=docProps/app.xml><?xml version="1.0" encoding="utf-8"?>
<Properties xmlns="http://schemas.openxmlformats.org/officeDocument/2006/extended-properties" xmlns:vt="http://schemas.openxmlformats.org/officeDocument/2006/docPropsVTypes">
  <Template>Normal</Template>
  <TotalTime>0</TotalTime>
  <Pages>3</Pages>
  <Words>654</Words>
  <Characters>3734</Characters>
  <Application>Microsoft Office Word</Application>
  <DocSecurity>0</DocSecurity>
  <Lines>31</Lines>
  <Paragraphs>8</Paragraphs>
  <ScaleCrop>false</ScaleCrop>
  <Company/>
  <LinksUpToDate>false</LinksUpToDate>
  <CharactersWithSpaces>4380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Mirte Smets</dc:creator>
  <cp:keywords/>
  <dc:description/>
  <cp:lastModifiedBy>Christophe Thoen</cp:lastModifiedBy>
  <cp:revision>6</cp:revision>
  <dcterms:created xsi:type="dcterms:W3CDTF">2021-03-18T13:24:00Z</dcterms:created>
  <dcterms:modified xsi:type="dcterms:W3CDTF">2021-03-19T10:52:00Z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0x0101003FDE16207A94924095AFEBF7D68E7186</vt:lpwstr>
  </property>
</Properties>
</file>